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黑体" w:eastAsia="黑体" w:cs="Times New Roman"/>
          <w:sz w:val="44"/>
          <w:szCs w:val="44"/>
        </w:rPr>
        <w:t>化学安全技术说明书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产品名称：</w:t>
      </w:r>
      <w:r>
        <w:rPr>
          <w:rFonts w:hint="eastAsia" w:ascii="Times New Roman" w:hAnsi="Times New Roman" w:eastAsia="黑体" w:cs="Times New Roman"/>
          <w:sz w:val="24"/>
          <w:szCs w:val="24"/>
        </w:rPr>
        <w:t>2-氯肉桂酸</w:t>
      </w:r>
      <w:r>
        <w:rPr>
          <w:rFonts w:ascii="Times New Roman" w:hAnsi="Times New Roman" w:eastAsia="黑体" w:cs="Times New Roman"/>
          <w:sz w:val="24"/>
          <w:szCs w:val="24"/>
        </w:rPr>
        <w:t xml:space="preserve">                按照GB/T16483、GB/T17519编制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修订日期：201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黑体" w:cs="Times New Roman"/>
          <w:sz w:val="24"/>
          <w:szCs w:val="24"/>
        </w:rPr>
        <w:t>年0</w:t>
      </w:r>
      <w:r>
        <w:rPr>
          <w:rFonts w:hint="eastAsia" w:ascii="Times New Roman" w:hAnsi="Times New Roman" w:eastAsia="黑体" w:cs="Times New Roman"/>
          <w:sz w:val="24"/>
          <w:szCs w:val="24"/>
        </w:rPr>
        <w:t>8</w:t>
      </w:r>
      <w:r>
        <w:rPr>
          <w:rFonts w:ascii="Times New Roman" w:hAnsi="Times New Roman" w:eastAsia="黑体" w:cs="Times New Roman"/>
          <w:sz w:val="24"/>
          <w:szCs w:val="24"/>
        </w:rPr>
        <w:t>月02日             最初编制日期：201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黑体" w:cs="Times New Roman"/>
          <w:sz w:val="24"/>
          <w:szCs w:val="24"/>
        </w:rPr>
        <w:t>年</w:t>
      </w:r>
      <w:r>
        <w:rPr>
          <w:rFonts w:hint="eastAsia" w:ascii="Times New Roman" w:hAnsi="Times New Roman" w:eastAsia="黑体" w:cs="Times New Roman"/>
          <w:sz w:val="24"/>
          <w:szCs w:val="24"/>
        </w:rPr>
        <w:t>8</w:t>
      </w:r>
      <w:r>
        <w:rPr>
          <w:rFonts w:ascii="Times New Roman" w:hAnsi="Times New Roman" w:eastAsia="黑体" w:cs="Times New Roman"/>
          <w:sz w:val="24"/>
          <w:szCs w:val="24"/>
        </w:rPr>
        <w:t>月02日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381000</wp:posOffset>
                </wp:positionV>
                <wp:extent cx="5553075" cy="19050"/>
                <wp:effectExtent l="0" t="4445" r="9525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-6pt;margin-top:30pt;height:1.5pt;width:437.25pt;z-index:251660288;mso-width-relative:page;mso-height-relative:page;" filled="f" stroked="t" coordsize="21600,21600" o:gfxdata="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O/TaHXAAAACQEAAA8AAAAAAAAAAQAgAAAAIgAAAGRycy9kb3du&#10;cmV2LnhtbFBLAQIUABQAAAAIAIdO4kAc/yn2AAIAAPE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 w:cs="Times New Roman"/>
          <w:sz w:val="24"/>
          <w:szCs w:val="24"/>
        </w:rPr>
        <w:t>版本：1.0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ind w:firstLine="2400" w:firstLineChars="7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第1部分 化学品及企业标识</w:t>
      </w: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化学品中文名：</w:t>
      </w:r>
      <w:r>
        <w:rPr>
          <w:rFonts w:hint="eastAsia" w:ascii="Times New Roman" w:hAnsi="Times New Roman" w:cs="Times New Roman"/>
          <w:sz w:val="24"/>
          <w:szCs w:val="24"/>
        </w:rPr>
        <w:t>2-氯肉桂酸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化学品英文名：</w:t>
      </w:r>
      <w:r>
        <w:rPr>
          <w:rFonts w:hint="eastAsia" w:ascii="微软雅黑" w:hAnsi="微软雅黑" w:eastAsia="微软雅黑"/>
          <w:color w:val="000000"/>
          <w:szCs w:val="21"/>
        </w:rPr>
        <w:t> </w:t>
      </w:r>
      <w:r>
        <w:rPr>
          <w:rFonts w:hint="eastAsia" w:ascii="Times New Roman" w:hAnsi="Times New Roman" w:eastAsia="微软雅黑" w:cs="Times New Roman"/>
          <w:color w:val="000000"/>
          <w:szCs w:val="21"/>
        </w:rPr>
        <w:t>2-Chlorocinnamic acid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企业名称：</w:t>
      </w:r>
      <w:r>
        <w:rPr>
          <w:rFonts w:ascii="Times New Roman" w:cs="Times New Roman" w:hAnsiTheme="minorEastAsia"/>
          <w:sz w:val="24"/>
          <w:szCs w:val="24"/>
        </w:rPr>
        <w:t>武汉能迈科实业有限公司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企业地址：</w:t>
      </w:r>
      <w:r>
        <w:rPr>
          <w:rFonts w:ascii="Times New Roman" w:cs="Times New Roman" w:hAnsiTheme="minorEastAsia"/>
          <w:sz w:val="24"/>
          <w:szCs w:val="24"/>
        </w:rPr>
        <w:t>武汉市江岸区塔子湖东路</w:t>
      </w:r>
      <w:r>
        <w:rPr>
          <w:rFonts w:ascii="Times New Roman" w:hAnsi="Times New Roman" w:eastAsia="黑体" w:cs="Times New Roman"/>
          <w:sz w:val="24"/>
          <w:szCs w:val="24"/>
        </w:rPr>
        <w:t>18</w:t>
      </w:r>
      <w:r>
        <w:rPr>
          <w:rFonts w:ascii="Times New Roman" w:cs="Times New Roman" w:hAnsiTheme="minorEastAsia"/>
          <w:sz w:val="24"/>
          <w:szCs w:val="24"/>
        </w:rPr>
        <w:t>号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联系电话：027-83916065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2.危险性概述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GHS分类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物理性危害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未分类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健康危害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急性毒性(经口)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第4级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皮肤腐蚀/刺激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第2级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严重损伤/刺激眼睛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2A类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环境危害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未分类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4382135</wp:posOffset>
            </wp:positionH>
            <wp:positionV relativeFrom="paragraph">
              <wp:posOffset>330200</wp:posOffset>
            </wp:positionV>
            <wp:extent cx="733425" cy="731520"/>
            <wp:effectExtent l="0" t="0" r="9525" b="1143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 w:val="32"/>
          <w:szCs w:val="32"/>
        </w:rPr>
        <w:t>GHS标签元素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图标或危害标志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信号词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警告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危险描述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吞咽有害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造成皮肤刺激 造成严重眼刺激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防范说明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[预防]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使用本产品时不要进食、饮水或吸烟。作业后彻底洗手和洗脸。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戴防护手套、眼部防护。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[急救措施]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如果吞咽：如有不适，呼叫中毒控制中心或者医生。漱口。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如果皮肤沾染：用大量水冲洗。如果发生皮肤刺激：求医或就诊。脱掉受沾染的衣物，且清洗后方能再次使用。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如果进入眼睛：用水小心冲洗几分钟。如果戴有隐形眼镜且可方便取出，取出隐形眼镜。继续冲洗。如果眼睛刺激持续：求医或就诊。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[废弃处置]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内容物和容器的废弃处置，请遵守当地、地区和国家的法律法规。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3.成分/组成信息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单一物质/混合物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单一物质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化学名(中文名)：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2-氯肉桂酸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百分比：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&gt;98.0%(GC)(T)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CAS RN 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3752-25-8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分子式：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C9H7ClO2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4.急救措施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吸入：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将受害者移到新鲜空气处，保持呼吸通畅，休息。若感不适请求医/就诊。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皮肤接触：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立即去除/脱掉所有被污染的衣物。用大量肥皂和水轻轻洗。  若皮肤刺激或发生皮疹：求医/就诊。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眼睛接触：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用水小心清洗几分钟。如果方便，易操作，摘除隐形眼镜。继续清洗。如果眼睛刺激：求医/就诊。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食入：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若感不适，呼叫解毒中心/医生。漱口。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紧急救助者的防护：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救援者需要穿戴个人防护用品，比如橡胶手套和气密性护目镜。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5.消防措施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合适的灭火剂：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干粉，泡沫，雾状水，二氧化碳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特殊危险性：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小心，燃烧或高温下可能分解产生毒烟。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特定方法：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从上风处灭火，根据周围环境选择合适的灭火方法。非相关人员应该撤离至安全地方。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周围一旦着火：如果安全，移去可移动容器。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消防员的特殊防护用具：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灭火时，一定要穿戴个人防护用品。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6.泄漏应急处理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个人防护措施，防护用具， 紧急措施：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使用个人防护用品。远离溢出物/泄露处并处在上风处。 泄露区应该用安全带等圈起来，控制非相关人员进入。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环保措施：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防止进入下水道。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控制和清洗的方法和材料：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清扫收集粉尘，封入密闭容器。注意切勿分散。附着物或收集物应该立即根据合适的法律法规处置。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7.操作处置与储存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处理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技术措施：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在通风良好处进行处理。穿戴合适的防护用具。防止粉尘扩散。处理后彻底清洗双手和脸。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注意事项：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如果粉尘或浮质产生，使用局部排气。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操作处置注意事项：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避免接触皮肤、眼睛和衣物。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贮存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储存条件：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保持容器密闭。存放于凉爽、阴暗处。远离不相容的材料比如氧化剂存放。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包装材料：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依据法律。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8.接触控制和个体防护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工程控制：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尽可能安装封闭体系或局部排风系统，操作人员切勿直接接触。同时安装淋浴器和洗眼器。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个人防护用品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呼吸系统防护：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防尘面具。依据当地和政府法规。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手部防护：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防护手套。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眼睛防护：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安全防护镜。如果情况需要，佩戴面具。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皮肤和身体防护：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防护服。如果情况需要，穿戴防护靴。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9.理化特性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外形(20°  C)：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固体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外观：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晶体 -粉末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颜色：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白色 类白色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气味：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pH: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无数据资料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熔点：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210° C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沸点/沸程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闪点：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爆炸特性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爆炸下限：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爆炸上限：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密度：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溶解度：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[水]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不溶于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[其他溶剂]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溶于：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甲醇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10.稳定性和反应性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化学稳定性：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一般情况下稳定。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危险反应的可能性：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未报道特殊反应性。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须避免接触的物质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氧化剂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危险的分解产物: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二氧化碳, 一氧化碳, 氯化氢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11.毒理学信息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急性毒性：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orl-mus LD50:989 mg/kg ipr-mus LD:&gt;350 mg/kg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对皮肤腐蚀或刺激：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无资料对眼睛严重损害或刺激：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无料生殖细胞致突变性：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无资料致癌性：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IARC =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NTP =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生殖毒性：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RTECS 号 码: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GD8450000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12.生态学信息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生态毒性：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鱼类：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甲壳类：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藻类：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残留性 / 降解性：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潜在生物累积  (BCF):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土壤中移动性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Log Pow:：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土壤吸收系数 (Koc)：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亨利定律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constant(PaM 3/mol):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13.废弃处置</w:t>
      </w:r>
    </w:p>
    <w:p>
      <w:pPr>
        <w:ind w:firstLine="46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无资料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如果可能，回收处理。请咨询当地管理部门。建议在可燃溶剂中溶解混合，在装有后燃和洗涤装置的化学焚烧炉中焚烧。废弃处置时请遵守国家、地区和当地的所有法规。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14.运输信息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联合国分类：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与联合国分类标准不一致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UN编号：</w:t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>未列明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15.法规信息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《危险化学品安全管理条例》(2002年1月26日国务院发布，2011年2月16日修订): 针对危险化学品的安全使用、生产、储存、运输、装卸等方面均作了相应的规定。</w:t>
      </w:r>
    </w:p>
    <w:p>
      <w:pPr>
        <w:ind w:firstLine="2400" w:firstLineChars="75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16.其他信息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记载内容的供参考公司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该化学品安全技术说明书基于我们能收集到的信息编制而成，然而，关于数据和对危害和毒性的评估不作保证。使用前，请调查危害和毒性信息，并优先考虑使用该产品的组织、地区和国家的法律法规。</w:t>
      </w:r>
    </w:p>
    <w:p>
      <w:pPr>
        <w:shd w:val="clea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考虑到安全问题，产品购买后应该立即使用。一些新信息或修正会后续加上。如果该产品在远超出预期使用时间后使用或者您有任何问题，请和我们联系。所陈述的警告仅仅适用于普通使用情况。如果是特殊使用情况，在普通安全措施外必须做好额外的安全防护措施。应该注意到所有化学品都具有“ 未知的危害和毒性” ，在不同使用条件、储存条件下会差异很大。该产品从开封到储存到废弃整个过程须由熟悉专业知识、有经验的操作人员使用或在专家指导下使用。每位使用者都有责任建立安全的使用环境。</w:t>
      </w:r>
    </w:p>
    <w:p>
      <w:pPr>
        <w:shd w:val="clear"/>
        <w:rPr>
          <w:rFonts w:hint="eastAsia" w:ascii="Times New Roman" w:hAnsi="Times New Roman" w:eastAsia="黑体" w:cs="Times New Roman"/>
          <w:sz w:val="32"/>
          <w:szCs w:val="32"/>
        </w:rPr>
      </w:pPr>
      <w:bookmarkStart w:id="2" w:name="_GoBack"/>
      <w:r>
        <w:rPr>
          <w:rFonts w:hint="eastAsia" w:ascii="Times New Roman" w:hAnsi="Times New Roman" w:eastAsia="黑体" w:cs="Times New Roman"/>
          <w:sz w:val="32"/>
          <w:szCs w:val="32"/>
        </w:rPr>
        <w:t>免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责声明： </w:t>
      </w:r>
    </w:p>
    <w:p>
      <w:pPr>
        <w:shd w:val="clea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本MSDS</w:t>
      </w:r>
      <w:bookmarkEnd w:id="2"/>
      <w:r>
        <w:rPr>
          <w:rFonts w:hint="eastAsia" w:ascii="Times New Roman" w:hAnsi="Times New Roman" w:eastAsia="黑体" w:cs="Times New Roman"/>
          <w:sz w:val="32"/>
          <w:szCs w:val="32"/>
        </w:rPr>
        <w:t>的信息仅适用于所指定的产品，除非特别指明， 对于本产品与其它物质的混合物等情况不适用。 本MSDS只为那些受过适当专业训练的该产品的使用人员</w:t>
      </w:r>
    </w:p>
    <w:p>
      <w:pPr>
        <w:shd w:val="clea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提供产品使用安全方面的资料。 本MSDS的使用者，须对该SDS的适用性作出独立判断。由于使用本MSDS所导致的伤害，本MSDS的编写者将不负任何责任。</w:t>
      </w:r>
    </w:p>
    <w:p>
      <w:pPr>
        <w:shd w:val="clear"/>
        <w:rPr>
          <w:rFonts w:hint="eastAsia"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723"/>
      <w:rPr>
        <w:b/>
        <w:sz w:val="36"/>
        <w:szCs w:val="36"/>
      </w:rPr>
    </w:pPr>
    <w:r>
      <w:rPr>
        <w:rFonts w:hint="eastAsia"/>
        <w:b/>
        <w:sz w:val="36"/>
        <w:szCs w:val="3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257175</wp:posOffset>
          </wp:positionH>
          <wp:positionV relativeFrom="margin">
            <wp:posOffset>-868045</wp:posOffset>
          </wp:positionV>
          <wp:extent cx="933450" cy="657225"/>
          <wp:effectExtent l="19050" t="0" r="0" b="0"/>
          <wp:wrapSquare wrapText="bothSides"/>
          <wp:docPr id="7" name="图片 0" descr="QQ图片20141209101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QQ图片20141209101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36"/>
        <w:szCs w:val="36"/>
      </w:rPr>
      <w:t xml:space="preserve">   武汉能迈科实业有限公司</w:t>
    </w:r>
  </w:p>
  <w:p>
    <w:pPr>
      <w:pStyle w:val="5"/>
      <w:pBdr>
        <w:bottom w:val="none" w:color="auto" w:sz="0" w:space="0"/>
      </w:pBdr>
      <w:ind w:firstLine="723"/>
      <w:rPr>
        <w:b/>
        <w:sz w:val="36"/>
        <w:szCs w:val="36"/>
      </w:rPr>
    </w:pPr>
    <w:r>
      <w:rPr>
        <w:rFonts w:hint="eastAsia"/>
        <w:b/>
        <w:sz w:val="36"/>
        <w:szCs w:val="36"/>
      </w:rPr>
      <w:t xml:space="preserve">   </w:t>
    </w:r>
    <w:bookmarkStart w:id="0" w:name="OLE_LINK1"/>
    <w:bookmarkStart w:id="1" w:name="OLE_LINK2"/>
    <w:r>
      <w:rPr>
        <w:rFonts w:hint="eastAsia"/>
        <w:b/>
        <w:sz w:val="36"/>
        <w:szCs w:val="36"/>
      </w:rPr>
      <w:t xml:space="preserve">Wuhan </w:t>
    </w:r>
    <w:r>
      <w:rPr>
        <w:b/>
        <w:sz w:val="36"/>
        <w:szCs w:val="36"/>
      </w:rPr>
      <w:t xml:space="preserve">Landmark </w:t>
    </w:r>
    <w:r>
      <w:rPr>
        <w:rFonts w:hint="eastAsia"/>
        <w:b/>
        <w:sz w:val="36"/>
        <w:szCs w:val="36"/>
      </w:rPr>
      <w:t>Industrial</w:t>
    </w:r>
    <w:r>
      <w:rPr>
        <w:b/>
        <w:sz w:val="36"/>
        <w:szCs w:val="36"/>
      </w:rPr>
      <w:t xml:space="preserve"> Co., L</w:t>
    </w:r>
    <w:bookmarkEnd w:id="0"/>
    <w:bookmarkEnd w:id="1"/>
    <w:r>
      <w:rPr>
        <w:rFonts w:hint="eastAsia"/>
        <w:b/>
        <w:sz w:val="36"/>
        <w:szCs w:val="36"/>
      </w:rPr>
      <w:t>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ThjMTA4YzYxMTU1OGM2ZmNhODIxYjZhY2M1YTQifQ=="/>
  </w:docVars>
  <w:rsids>
    <w:rsidRoot w:val="00142CDD"/>
    <w:rsid w:val="00013C3F"/>
    <w:rsid w:val="000C4547"/>
    <w:rsid w:val="000D51A3"/>
    <w:rsid w:val="001171FE"/>
    <w:rsid w:val="00142CDD"/>
    <w:rsid w:val="00171847"/>
    <w:rsid w:val="001A6A76"/>
    <w:rsid w:val="001D1708"/>
    <w:rsid w:val="002342DA"/>
    <w:rsid w:val="002403D8"/>
    <w:rsid w:val="002D544E"/>
    <w:rsid w:val="00312AA1"/>
    <w:rsid w:val="00332728"/>
    <w:rsid w:val="0034028B"/>
    <w:rsid w:val="003443BE"/>
    <w:rsid w:val="00361EA3"/>
    <w:rsid w:val="00397D0F"/>
    <w:rsid w:val="0043418D"/>
    <w:rsid w:val="00450A0D"/>
    <w:rsid w:val="004E21D8"/>
    <w:rsid w:val="00505192"/>
    <w:rsid w:val="0050695E"/>
    <w:rsid w:val="006142BC"/>
    <w:rsid w:val="00633419"/>
    <w:rsid w:val="00740344"/>
    <w:rsid w:val="00781F86"/>
    <w:rsid w:val="00850E18"/>
    <w:rsid w:val="00857A86"/>
    <w:rsid w:val="008A6AE9"/>
    <w:rsid w:val="00975605"/>
    <w:rsid w:val="009E332C"/>
    <w:rsid w:val="00A1257D"/>
    <w:rsid w:val="00AE292A"/>
    <w:rsid w:val="00B72949"/>
    <w:rsid w:val="00B93435"/>
    <w:rsid w:val="00BC3B57"/>
    <w:rsid w:val="00C45701"/>
    <w:rsid w:val="00C869E6"/>
    <w:rsid w:val="00CA23DE"/>
    <w:rsid w:val="00CD0D67"/>
    <w:rsid w:val="00D27541"/>
    <w:rsid w:val="00D82D41"/>
    <w:rsid w:val="00E3783C"/>
    <w:rsid w:val="00E40A5C"/>
    <w:rsid w:val="00E50814"/>
    <w:rsid w:val="00E50A1A"/>
    <w:rsid w:val="00EB193E"/>
    <w:rsid w:val="00F019F6"/>
    <w:rsid w:val="00F0790F"/>
    <w:rsid w:val="00FA3CC6"/>
    <w:rsid w:val="00FE28FA"/>
    <w:rsid w:val="62D6610D"/>
    <w:rsid w:val="6E60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2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52ECA-1A66-4C53-96DE-FA1584EE5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2121</Words>
  <Characters>2337</Characters>
  <Lines>34</Lines>
  <Paragraphs>9</Paragraphs>
  <TotalTime>0</TotalTime>
  <ScaleCrop>false</ScaleCrop>
  <LinksUpToDate>false</LinksUpToDate>
  <CharactersWithSpaces>2504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2020-05-25T08:49:00Z</dcterms:created>
  <dc:creator>Administrator</dc:creator>
  <cp:lastModifiedBy>吴限</cp:lastModifiedBy>
  <dcterms:modified xsi:type="dcterms:W3CDTF">2022-11-20T05:38:12Z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2DDE42692B0040F09BCB1825A1A18C34</vt:lpwstr>
  </property>
</Properties>
</file>