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ascii="宋体" w:hAnsi="宋体" w:eastAsia="宋体" w:cs="宋体"/>
          <w:b w:val="0"/>
          <w:i w:val="0"/>
          <w:caps w:val="0"/>
          <w:color w:val="333333"/>
          <w:spacing w:val="0"/>
          <w:sz w:val="21"/>
          <w:szCs w:val="21"/>
        </w:rPr>
      </w:pPr>
      <w:r>
        <w:rPr>
          <w:rFonts w:ascii="微软雅黑" w:hAnsi="微软雅黑" w:eastAsia="微软雅黑" w:cs="微软雅黑"/>
          <w:b w:val="0"/>
          <w:i w:val="0"/>
          <w:caps w:val="0"/>
          <w:color w:val="333333"/>
          <w:spacing w:val="0"/>
          <w:sz w:val="28"/>
          <w:szCs w:val="28"/>
          <w:bdr w:val="none" w:color="auto" w:sz="0" w:space="0"/>
          <w:shd w:val="clear" w:fill="FFFFFF"/>
        </w:rPr>
        <w:t>羟 丙 基 甲 基 纤 维 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1"/>
          <w:szCs w:val="21"/>
          <w:bdr w:val="none" w:color="auto" w:sz="0" w:space="0"/>
          <w:shd w:val="clear" w:fill="FFFFFF"/>
        </w:rPr>
        <w:t>基本信息:</w:t>
      </w: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中文名称：羟丙基甲基纤维素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简    称：HPMC纤维素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英文名称：Hydroxy Propyl Methyl Cellulose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英文缩写：HPMC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羟丙基甲基纤维素，又名羟丙甲纤维素、纤维素羟丙基甲基醚，是选用高度纯净的棉纤维素作为原料，用碱液在35-40℃处理半小时，压榨，将纤维素粉碎，于35℃适当进行老化，使所得的碱纤平均聚合度在所需的范围内。将碱纤维投入醚化釜，依次加入环氧丙烷和氯甲烷，在50-80℃醚化5h，压力约1.8MPa。然后在90℃的热水中加入适量盐酸及草酸洗涤物料，使体积膨大，再用离心机脱水，后经过反复洗涤至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1"/>
          <w:szCs w:val="21"/>
          <w:bdr w:val="none" w:color="auto" w:sz="0" w:space="0"/>
          <w:shd w:val="clear" w:fill="FFFFFF"/>
        </w:rPr>
        <w:t>理    化    性    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宋体" w:hAnsi="宋体" w:eastAsia="宋体" w:cs="宋体"/>
          <w:b w:val="0"/>
          <w:i w:val="0"/>
          <w:caps w:val="0"/>
          <w:color w:val="333333"/>
          <w:spacing w:val="0"/>
          <w:sz w:val="21"/>
          <w:szCs w:val="21"/>
        </w:rPr>
      </w:pPr>
    </w:p>
    <w:tbl>
      <w:tblPr>
        <w:tblW w:w="638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27"/>
        <w:gridCol w:w="4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CCFF99"/>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外观</w:t>
            </w:r>
          </w:p>
        </w:tc>
        <w:tc>
          <w:tcPr>
            <w:tcW w:w="4617" w:type="dxa"/>
            <w:tcBorders>
              <w:top w:val="nil"/>
              <w:left w:val="nil"/>
              <w:bottom w:val="nil"/>
              <w:right w:val="nil"/>
            </w:tcBorders>
            <w:shd w:val="clear" w:color="auto" w:fill="CCFF99"/>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白色或类白色粉末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颗粒度</w:t>
            </w:r>
          </w:p>
        </w:tc>
        <w:tc>
          <w:tcPr>
            <w:tcW w:w="4617"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100目通过率大于98.5%；80目通过率100%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CCFF99"/>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炭化温度</w:t>
            </w:r>
          </w:p>
        </w:tc>
        <w:tc>
          <w:tcPr>
            <w:tcW w:w="4617" w:type="dxa"/>
            <w:tcBorders>
              <w:top w:val="nil"/>
              <w:left w:val="nil"/>
              <w:bottom w:val="nil"/>
              <w:right w:val="nil"/>
            </w:tcBorders>
            <w:shd w:val="clear" w:color="auto" w:fill="CCFF99"/>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280-300℃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视密度</w:t>
            </w:r>
          </w:p>
        </w:tc>
        <w:tc>
          <w:tcPr>
            <w:tcW w:w="4617"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0.25-0.70g/cm(通常在0.5g/cm左右)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CCFF99"/>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变色温度</w:t>
            </w:r>
          </w:p>
        </w:tc>
        <w:tc>
          <w:tcPr>
            <w:tcW w:w="4617" w:type="dxa"/>
            <w:tcBorders>
              <w:top w:val="nil"/>
              <w:left w:val="nil"/>
              <w:bottom w:val="nil"/>
              <w:right w:val="nil"/>
            </w:tcBorders>
            <w:shd w:val="clear" w:color="auto" w:fill="CCFF99"/>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190-200℃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682"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表面张力</w:t>
            </w:r>
          </w:p>
        </w:tc>
        <w:tc>
          <w:tcPr>
            <w:tcW w:w="4617" w:type="dxa"/>
            <w:tcBorders>
              <w:top w:val="nil"/>
              <w:left w:val="nil"/>
              <w:bottom w:val="nil"/>
              <w:right w:val="nil"/>
            </w:tcBorders>
            <w:shd w:val="clear" w:color="auto" w:fill="00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2%水溶液为42-56dyn/cm</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1"/>
          <w:szCs w:val="21"/>
          <w:bdr w:val="none" w:color="auto" w:sz="0" w:space="0"/>
          <w:shd w:val="clear" w:fill="FFFFFF"/>
        </w:rPr>
        <w:t>产    品    质    量    指    标</w:t>
      </w:r>
    </w:p>
    <w:tbl>
      <w:tblPr>
        <w:tblW w:w="638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9"/>
        <w:gridCol w:w="1495"/>
        <w:gridCol w:w="149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1844"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i w:val="0"/>
                <w:caps w:val="0"/>
                <w:color w:val="FF0000"/>
                <w:spacing w:val="0"/>
                <w:sz w:val="21"/>
                <w:szCs w:val="21"/>
                <w:bdr w:val="none" w:color="auto" w:sz="0" w:space="0"/>
              </w:rPr>
              <w:t>★★★★★</w:t>
            </w:r>
            <w:r>
              <w:rPr>
                <w:rFonts w:hint="eastAsia" w:ascii="宋体" w:hAnsi="宋体" w:eastAsia="宋体" w:cs="宋体"/>
                <w:b w:val="0"/>
                <w:i w:val="0"/>
                <w:caps w:val="0"/>
                <w:color w:val="333333"/>
                <w:spacing w:val="0"/>
                <w:sz w:val="21"/>
                <w:szCs w:val="21"/>
                <w:bdr w:val="none" w:color="auto" w:sz="0" w:space="0"/>
              </w:rPr>
              <w:t>星级指标</w:t>
            </w:r>
          </w:p>
        </w:tc>
        <w:tc>
          <w:tcPr>
            <w:tcW w:w="4455" w:type="dxa"/>
            <w:gridSpan w:val="3"/>
            <w:tcBorders>
              <w:top w:val="nil"/>
              <w:left w:val="nil"/>
              <w:bottom w:val="nil"/>
              <w:right w:val="nil"/>
            </w:tcBorders>
            <w:shd w:val="clear" w:color="auto" w:fill="CCFFCC"/>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i w:val="0"/>
                <w:caps w:val="0"/>
                <w:color w:val="333333"/>
                <w:spacing w:val="0"/>
                <w:sz w:val="21"/>
                <w:szCs w:val="21"/>
                <w:bdr w:val="none" w:color="auto" w:sz="0" w:space="0"/>
              </w:rPr>
              <w:t>产品型号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i w:val="0"/>
                <w:caps w:val="0"/>
                <w:color w:val="333333"/>
                <w:spacing w:val="0"/>
                <w:sz w:val="21"/>
                <w:szCs w:val="21"/>
                <w:bdr w:val="none" w:color="auto" w:sz="0" w:space="0"/>
              </w:rPr>
              <w:t>指标名称</w:t>
            </w:r>
          </w:p>
        </w:tc>
        <w:tc>
          <w:tcPr>
            <w:tcW w:w="1465" w:type="dxa"/>
            <w:tcBorders>
              <w:top w:val="nil"/>
              <w:left w:val="nil"/>
              <w:bottom w:val="nil"/>
              <w:right w:val="nil"/>
            </w:tcBorders>
            <w:shd w:val="clear" w:color="auto" w:fill="CCFFCC"/>
            <w:tcMar>
              <w:top w:w="0" w:type="dxa"/>
              <w:left w:w="0" w:type="dxa"/>
              <w:bottom w:w="0" w:type="dxa"/>
              <w:right w:w="0" w:type="dxa"/>
            </w:tcMar>
            <w:vAlign w:val="bottom"/>
          </w:tcPr>
          <w:p>
            <w:pPr>
              <w:keepNext w:val="0"/>
              <w:keepLines w:val="0"/>
              <w:widowControl/>
              <w:suppressLineNumbers w:val="0"/>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333333"/>
                <w:spacing w:val="0"/>
                <w:sz w:val="18"/>
                <w:szCs w:val="18"/>
              </w:rPr>
            </w:pPr>
          </w:p>
        </w:tc>
        <w:tc>
          <w:tcPr>
            <w:tcW w:w="1465" w:type="dxa"/>
            <w:tcBorders>
              <w:top w:val="nil"/>
              <w:left w:val="nil"/>
              <w:bottom w:val="nil"/>
              <w:right w:val="nil"/>
            </w:tcBorders>
            <w:shd w:val="clear" w:color="auto" w:fill="CCFFCC"/>
            <w:tcMar>
              <w:top w:w="0" w:type="dxa"/>
              <w:left w:w="0" w:type="dxa"/>
              <w:bottom w:w="0" w:type="dxa"/>
              <w:right w:w="0" w:type="dxa"/>
            </w:tcMar>
            <w:vAlign w:val="bottom"/>
          </w:tcPr>
          <w:p>
            <w:pPr>
              <w:keepNext w:val="0"/>
              <w:keepLines w:val="0"/>
              <w:widowControl/>
              <w:suppressLineNumbers w:val="0"/>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333333"/>
                <w:spacing w:val="0"/>
                <w:sz w:val="18"/>
                <w:szCs w:val="18"/>
              </w:rPr>
            </w:pPr>
          </w:p>
        </w:tc>
        <w:tc>
          <w:tcPr>
            <w:tcW w:w="1465" w:type="dxa"/>
            <w:tcBorders>
              <w:top w:val="nil"/>
              <w:left w:val="nil"/>
              <w:bottom w:val="nil"/>
              <w:right w:val="nil"/>
            </w:tcBorders>
            <w:shd w:val="clear" w:color="auto" w:fill="CCFFCC"/>
            <w:tcMar>
              <w:top w:w="0" w:type="dxa"/>
              <w:left w:w="0" w:type="dxa"/>
              <w:bottom w:w="0" w:type="dxa"/>
              <w:right w:w="0" w:type="dxa"/>
            </w:tcMar>
            <w:vAlign w:val="bottom"/>
          </w:tcPr>
          <w:p>
            <w:pPr>
              <w:keepNext w:val="0"/>
              <w:keepLines w:val="0"/>
              <w:widowControl/>
              <w:suppressLineNumbers w:val="0"/>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甲氧基%</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28.0-30.0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27.0-30.0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19.0-24.0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羟丙基%</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7.0-12.0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4.0-7.5</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凝胶温度/℃</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58-64</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62-68</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干燥失重%</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≤5%</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≤5%</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残渣%</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PH值</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4.0-8.0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4.0-8.0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黏度(2%NDJ-1)</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195000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145000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trPr>
        <w:tc>
          <w:tcPr>
            <w:tcW w:w="1844" w:type="dxa"/>
            <w:tcBorders>
              <w:top w:val="nil"/>
              <w:left w:val="nil"/>
              <w:bottom w:val="nil"/>
              <w:right w:val="nil"/>
            </w:tcBorders>
            <w:shd w:val="clear" w:color="auto" w:fill="99CCFF"/>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pPr>
            <w:r>
              <w:rPr>
                <w:rFonts w:hint="eastAsia" w:ascii="宋体" w:hAnsi="宋体" w:eastAsia="宋体" w:cs="宋体"/>
                <w:b w:val="0"/>
                <w:i w:val="0"/>
                <w:caps w:val="0"/>
                <w:color w:val="333333"/>
                <w:spacing w:val="0"/>
                <w:sz w:val="21"/>
                <w:szCs w:val="21"/>
                <w:bdr w:val="none" w:color="auto" w:sz="0" w:space="0"/>
              </w:rPr>
              <w:t>黏度(2%Brookfield)</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99000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73000</w:t>
            </w:r>
          </w:p>
        </w:tc>
        <w:tc>
          <w:tcPr>
            <w:tcW w:w="1465" w:type="dxa"/>
            <w:tcBorders>
              <w:top w:val="nil"/>
              <w:left w:val="nil"/>
              <w:bottom w:val="nil"/>
              <w:right w:val="nil"/>
            </w:tcBorders>
            <w:shd w:val="clear"/>
            <w:tcMar>
              <w:top w:w="0" w:type="dxa"/>
              <w:left w:w="0" w:type="dxa"/>
              <w:bottom w:w="0" w:type="dxa"/>
              <w:right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jc w:val="center"/>
            </w:pPr>
            <w:r>
              <w:rPr>
                <w:rFonts w:hint="eastAsia" w:ascii="宋体" w:hAnsi="宋体" w:eastAsia="宋体" w:cs="宋体"/>
                <w:b w:val="0"/>
                <w:i w:val="0"/>
                <w:caps w:val="0"/>
                <w:color w:val="333333"/>
                <w:spacing w:val="0"/>
                <w:sz w:val="21"/>
                <w:szCs w:val="21"/>
                <w:bdr w:val="none" w:color="auto" w:sz="0" w:space="0"/>
              </w:rPr>
              <w:t>49500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产品使用技术支持: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FF0000"/>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本产品在大于85℃以上的热水中膨润、分散，通常采用以下方法溶解：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取总需水量1/5-1/3的热水，与产品搅动使其完全膨润，再加入剩余水，可以是冷水，甚至可以加冰水，总之控制在搅拌至适宜的温度（10℃），即可完全溶解。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干式掺合混合：如遇其它粉状物的配合中，应先与粉状物充分混匀再加水，便能很快溶解，不会结团。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有机溶剂湿润法：首先将该产品分散到有机溶剂中或用有机溶剂湿润，再加入到冷水或将冷水加入，可以很好的溶解，有机溶剂可选用乙醇、乙二醇等。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冷水速溶法：在容器内放入适量的自来水，在慢慢搅拌下逐渐加入HPMC，开始HPMC迅速扩散到水中，只是扩散没有溶解，静置几分钟后，HPMC慢慢溶解，粘度慢慢上来，达到效果。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FF0000"/>
          <w:spacing w:val="0"/>
          <w:sz w:val="21"/>
          <w:szCs w:val="21"/>
          <w:bdr w:val="none" w:color="auto" w:sz="0" w:space="0"/>
          <w:shd w:val="clear" w:fill="FFFFFF"/>
        </w:rPr>
        <w:t>★</w:t>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i w:val="0"/>
          <w:caps w:val="0"/>
          <w:color w:val="333333"/>
          <w:spacing w:val="0"/>
          <w:sz w:val="21"/>
          <w:szCs w:val="21"/>
          <w:bdr w:val="none" w:color="auto" w:sz="0" w:space="0"/>
          <w:shd w:val="clear" w:fill="FFFFFF"/>
        </w:rPr>
        <w:t>配制溶液注意事项：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1、在加入该产品时和加入之后，应充分搅拌达到高粘度。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2、制备溶解的浓度，根据产品的粘度确定，低粘产品（粘度小于4000）可配成10-15%浓度；高粘度产品（粘度大于30000）最大配制2-3%。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FF0000"/>
          <w:spacing w:val="0"/>
          <w:sz w:val="21"/>
          <w:szCs w:val="21"/>
          <w:bdr w:val="none" w:color="auto" w:sz="0" w:space="0"/>
          <w:shd w:val="clear" w:fill="FFFFFF"/>
        </w:rPr>
        <w:t>★  </w:t>
      </w:r>
      <w:r>
        <w:rPr>
          <w:rFonts w:hint="eastAsia" w:ascii="宋体" w:hAnsi="宋体" w:eastAsia="宋体" w:cs="宋体"/>
          <w:b/>
          <w:i w:val="0"/>
          <w:caps w:val="0"/>
          <w:color w:val="333333"/>
          <w:spacing w:val="0"/>
          <w:sz w:val="21"/>
          <w:szCs w:val="21"/>
          <w:bdr w:val="none" w:color="auto" w:sz="0" w:space="0"/>
          <w:shd w:val="clear" w:fill="FFFFFF"/>
        </w:rPr>
        <w:t>安全事项: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避免任意抛撒使粉尘飞扬造成空气污染。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物理及化学性危害：避免与火源接触，在密闭环境中应避免形成大量的粉尘，防止爆炸性危害。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注意防晒防雨防潮，避直接光照，密封于干燥处存放。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8"/>
          <w:szCs w:val="28"/>
          <w:u w:val="single"/>
          <w:bdr w:val="none" w:color="auto" w:sz="0" w:space="0"/>
          <w:shd w:val="clear" w:fill="FFFFFF"/>
        </w:rPr>
        <w:t> </w:t>
      </w:r>
      <w:r>
        <w:rPr>
          <w:rFonts w:hint="eastAsia" w:ascii="宋体" w:hAnsi="宋体" w:eastAsia="宋体" w:cs="宋体"/>
          <w:b/>
          <w:i w:val="0"/>
          <w:caps w:val="0"/>
          <w:color w:val="333333"/>
          <w:spacing w:val="0"/>
          <w:sz w:val="28"/>
          <w:szCs w:val="28"/>
          <w:u w:val="single"/>
          <w:bdr w:val="none" w:color="auto" w:sz="0" w:space="0"/>
          <w:shd w:val="clear" w:fill="FFFFFF"/>
          <w:lang w:val="en-US" w:eastAsia="zh-CN"/>
        </w:rPr>
        <w:t xml:space="preserve">             </w:t>
      </w:r>
      <w:bookmarkStart w:id="0" w:name="_GoBack"/>
      <w:bookmarkEnd w:id="0"/>
      <w:r>
        <w:rPr>
          <w:rFonts w:hint="eastAsia" w:ascii="宋体" w:hAnsi="宋体" w:eastAsia="宋体" w:cs="宋体"/>
          <w:b/>
          <w:i w:val="0"/>
          <w:caps w:val="0"/>
          <w:color w:val="333333"/>
          <w:spacing w:val="0"/>
          <w:sz w:val="28"/>
          <w:szCs w:val="28"/>
          <w:u w:val="single"/>
          <w:bdr w:val="none" w:color="auto" w:sz="0" w:space="0"/>
          <w:shd w:val="clear" w:fill="FFFFFF"/>
        </w:rPr>
        <w:t xml:space="preserve">应   用   领   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建筑工业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1、水泥砂浆：提高水泥－砂的分散性，大幅度改善砂浆的可塑性和保水性，对防止裂纹有效果，可增强水泥强度。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2、瓷砖水泥：提高压制瓷砖砂浆的可塑性、保水性、提高瓷砖的胶接力，防止粉化。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3、石棉等耐火材料的涂复：作为悬浮安剂，流动性改善剂，还提高对基底的胶接力。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4、石膏混凝浆料：改善保水性和加工性，提高对基底的胶粘力。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5、接缝水泥：添加于石膏板用的接缝水泥中，改善流动性和保水性。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6、乳胶油灰：改善以树脂乳胶为基础油灰的流动性和保水性。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7、灰泥：作为代替天然物的浆糊，能改善保水性，提高同基底的胶接力。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8、涂料：作为乳胶涂料的增塑剂，对改善涂料及腻子粉的操作性能和流动性的改善有作用。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9、喷涂涂料：对防止水泥系或乳胶系喷涂只得料填料下沉和改善流动性及喷束图形有良好效果。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10、水泥、石膏二次制品：作为水泥－石棉系等水硬性物质的压出成型粘结剂使用，提高流动性，能得到均一的成型品。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11、纤维壁：由于抗酶抗细菌作用，作为砂壁的粘合剂是有效的。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12、其它：可以利用作稀薄胶泥砂灰浆和泥水工操作人作用的（PC版）的气泡保持剂。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化学工业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1、氯乙烯、亚乙烯基的聚合：作为聚合时悬安定剂，分散剂，可以同乙烯醇（PVA ）羟丙基纤维素（HPC）并用，能控制粒形和粒子的分布。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2、胶接剂：作为墙纸的胶接剂，代替淀粉通常可以同醋酸乙烯乳胶涂料并用。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3、农药：添加于杀虫剂，除草剂中，能提高喷射时的粘附效果。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4、胶乳：提高沥青乳胶的乳化安定剂，丁苯橡胶（SBR）胶乳的增稠剂。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5、粘结剂：作为铅笔、蜡笔的成型粘合剂。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化妆品业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1、洗发剂：提高洗发剂、洗濯剂、洗净剂的粘度和气泡的安定性。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2、牙膏：改善牙膏的流动性。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器窑行业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1、电子材料：作为陶瓷电密器，铁酸盐矾土磁器的压出成型的粘合剂，可以同1.2－丙二醇并用。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2、釉药：用作陶瓷器的釉药及与瓷漆配合，能改善胶接性和加工性。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3、耐火砂浆：添加于耐火砖砂浆或者浇注型炉材中，能改善可塑性和保水性。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FF6600"/>
          <w:spacing w:val="0"/>
          <w:sz w:val="21"/>
          <w:szCs w:val="21"/>
          <w:bdr w:val="none" w:color="auto" w:sz="0" w:space="0"/>
          <w:shd w:val="clear" w:fill="FFFFFF"/>
        </w:rPr>
        <w:t>其它行业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1、纤维：作为印染料浆糊用于颜料、硼土林染料、盐基性染料、纺织用染料，另外，在木棉的波纹加工中，可以同热硬化树脂并用。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2、纸：用于复写纸的皮面上胶和耐油加工等方面。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3、皮革：作为最后润滑或者一次性胶接剂使用。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4、水性墨水：添加于水基性墨水、墨汁中，作为增稠剂、成膜剂。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5、烟草：作为再生烟草的粘合剂。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25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2017-06-28T05:49:11Z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