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9A" w:rsidRPr="00E60E06" w:rsidRDefault="00E16C9A" w:rsidP="007E4B0A">
      <w:pPr>
        <w:pStyle w:val="1"/>
        <w:spacing w:line="345" w:lineRule="atLeast"/>
        <w:jc w:val="center"/>
        <w:rPr>
          <w:color w:val="FF0000"/>
        </w:rPr>
      </w:pPr>
      <w:r w:rsidRPr="00E60E06">
        <w:rPr>
          <w:color w:val="FF0000"/>
        </w:rPr>
        <w:t>烯丙氧基羟丙基磺酸钠</w:t>
      </w:r>
      <w:r>
        <w:rPr>
          <w:rFonts w:hint="eastAsia"/>
          <w:color w:val="FF0000"/>
        </w:rPr>
        <w:t>（</w:t>
      </w:r>
      <w:r>
        <w:rPr>
          <w:rFonts w:cs="Tahoma" w:hint="eastAsia"/>
          <w:color w:val="333333"/>
          <w:kern w:val="0"/>
        </w:rPr>
        <w:t>3-</w:t>
      </w:r>
      <w:r w:rsidRPr="003F4ECE">
        <w:rPr>
          <w:rFonts w:cs="Tahoma" w:hint="eastAsia"/>
          <w:color w:val="333333"/>
          <w:kern w:val="0"/>
        </w:rPr>
        <w:t>烯丙氧基</w:t>
      </w:r>
      <w:r>
        <w:rPr>
          <w:rFonts w:cs="Tahoma" w:hint="eastAsia"/>
          <w:color w:val="333333"/>
          <w:kern w:val="0"/>
        </w:rPr>
        <w:t>-2-</w:t>
      </w:r>
      <w:r w:rsidRPr="003F4ECE">
        <w:rPr>
          <w:rFonts w:cs="Tahoma" w:hint="eastAsia"/>
          <w:color w:val="333333"/>
          <w:kern w:val="0"/>
        </w:rPr>
        <w:t>羟基丙磺酸钠</w:t>
      </w:r>
      <w:r>
        <w:rPr>
          <w:rFonts w:cs="Tahoma" w:hint="eastAsia"/>
          <w:color w:val="333333"/>
          <w:kern w:val="0"/>
        </w:rPr>
        <w:t>）</w:t>
      </w:r>
    </w:p>
    <w:p w:rsidR="00E16C9A" w:rsidRDefault="00E16C9A" w:rsidP="00E16C9A">
      <w:pPr>
        <w:rPr>
          <w:rFonts w:eastAsia="宋体" w:cs="Tahoma"/>
          <w:color w:val="333333"/>
          <w:sz w:val="18"/>
          <w:szCs w:val="18"/>
        </w:rPr>
      </w:pPr>
    </w:p>
    <w:p w:rsidR="00E16C9A" w:rsidRPr="00786D6D" w:rsidRDefault="00E16C9A" w:rsidP="00E16C9A">
      <w:pPr>
        <w:rPr>
          <w:rFonts w:eastAsia="宋体" w:cs="Tahoma"/>
          <w:sz w:val="21"/>
          <w:szCs w:val="21"/>
        </w:rPr>
      </w:pPr>
      <w:r w:rsidRPr="00786D6D">
        <w:rPr>
          <w:rFonts w:eastAsia="宋体" w:cs="Tahoma" w:hint="eastAsia"/>
          <w:sz w:val="21"/>
          <w:szCs w:val="21"/>
        </w:rPr>
        <w:t>俗称：</w:t>
      </w:r>
      <w:r w:rsidRPr="00786D6D">
        <w:rPr>
          <w:rFonts w:eastAsia="宋体" w:cs="Tahoma"/>
          <w:bCs/>
          <w:sz w:val="21"/>
          <w:szCs w:val="21"/>
        </w:rPr>
        <w:t>COPS-1</w:t>
      </w:r>
      <w:r w:rsidRPr="00786D6D">
        <w:rPr>
          <w:rFonts w:eastAsia="宋体" w:cs="Tahoma" w:hint="eastAsia"/>
          <w:bCs/>
          <w:sz w:val="21"/>
          <w:szCs w:val="21"/>
        </w:rPr>
        <w:t>阴离子乳化剂、炔丙基</w:t>
      </w:r>
      <w:r w:rsidRPr="00786D6D">
        <w:rPr>
          <w:rFonts w:eastAsia="宋体" w:cs="Tahoma" w:hint="eastAsia"/>
          <w:sz w:val="21"/>
          <w:szCs w:val="21"/>
        </w:rPr>
        <w:t>二钠盐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宋体"/>
          <w:sz w:val="21"/>
          <w:szCs w:val="21"/>
        </w:rPr>
      </w:pPr>
      <w:r w:rsidRPr="00875F66">
        <w:rPr>
          <w:rFonts w:asciiTheme="minorEastAsia" w:eastAsiaTheme="minorEastAsia" w:hAnsiTheme="minorEastAsia" w:cs="宋体"/>
          <w:sz w:val="21"/>
          <w:szCs w:val="21"/>
        </w:rPr>
        <w:t>英文名称：3-Allyloxy-2-Hydroxy-1-Propane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宋体"/>
          <w:sz w:val="21"/>
          <w:szCs w:val="21"/>
        </w:rPr>
      </w:pPr>
      <w:r w:rsidRPr="00875F66">
        <w:rPr>
          <w:rFonts w:asciiTheme="minorEastAsia" w:eastAsiaTheme="minorEastAsia" w:hAnsiTheme="minorEastAsia" w:cs="宋体"/>
          <w:sz w:val="21"/>
          <w:szCs w:val="21"/>
        </w:rPr>
        <w:t xml:space="preserve">英文别名：1-Propanesulfonic acid, 2-hydroxy-3-(2-propen-1-yloxy)-, sodium salt (1:1); 1-Propanesulfonic acid, 2-hydroxy-3-(2-propenyloxy)-, monosodium salt; 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宋体"/>
          <w:sz w:val="21"/>
          <w:szCs w:val="21"/>
        </w:rPr>
      </w:pPr>
      <w:r w:rsidRPr="00875F66">
        <w:rPr>
          <w:rFonts w:asciiTheme="minorEastAsia" w:eastAsiaTheme="minorEastAsia" w:hAnsiTheme="minorEastAsia" w:cs="宋体"/>
          <w:sz w:val="21"/>
          <w:szCs w:val="21"/>
        </w:rPr>
        <w:t>CAS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 xml:space="preserve"> NO</w:t>
      </w:r>
      <w:r w:rsidRPr="00875F66">
        <w:rPr>
          <w:rFonts w:asciiTheme="minorEastAsia" w:eastAsiaTheme="minorEastAsia" w:hAnsiTheme="minorEastAsia" w:cs="宋体"/>
          <w:sz w:val="21"/>
          <w:szCs w:val="21"/>
        </w:rPr>
        <w:t>：52556-42-0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Tahoma"/>
          <w:sz w:val="21"/>
          <w:szCs w:val="21"/>
        </w:rPr>
      </w:pPr>
      <w:r w:rsidRPr="00875F66">
        <w:rPr>
          <w:rFonts w:asciiTheme="minorEastAsia" w:eastAsiaTheme="minorEastAsia" w:hAnsiTheme="minorEastAsia" w:cs="宋体"/>
          <w:sz w:val="21"/>
          <w:szCs w:val="21"/>
        </w:rPr>
        <w:t>分子式：</w:t>
      </w:r>
      <w:r w:rsidRPr="00875F66">
        <w:rPr>
          <w:rFonts w:asciiTheme="minorEastAsia" w:eastAsiaTheme="minorEastAsia" w:hAnsiTheme="minorEastAsia" w:cs="Arial"/>
          <w:sz w:val="21"/>
          <w:szCs w:val="21"/>
        </w:rPr>
        <w:t>C</w:t>
      </w:r>
      <w:r w:rsidRPr="00875F66">
        <w:rPr>
          <w:rFonts w:asciiTheme="minorEastAsia" w:eastAsiaTheme="minorEastAsia" w:hAnsiTheme="minorEastAsia" w:cs="Arial"/>
          <w:sz w:val="21"/>
          <w:szCs w:val="21"/>
          <w:vertAlign w:val="subscript"/>
        </w:rPr>
        <w:t>6</w:t>
      </w:r>
      <w:r w:rsidRPr="00875F66">
        <w:rPr>
          <w:rFonts w:asciiTheme="minorEastAsia" w:eastAsiaTheme="minorEastAsia" w:hAnsiTheme="minorEastAsia" w:cs="Arial"/>
          <w:sz w:val="21"/>
          <w:szCs w:val="21"/>
        </w:rPr>
        <w:t>H</w:t>
      </w:r>
      <w:r w:rsidRPr="00875F66">
        <w:rPr>
          <w:rFonts w:asciiTheme="minorEastAsia" w:eastAsiaTheme="minorEastAsia" w:hAnsiTheme="minorEastAsia" w:cs="Arial"/>
          <w:sz w:val="21"/>
          <w:szCs w:val="21"/>
          <w:vertAlign w:val="subscript"/>
        </w:rPr>
        <w:t>11</w:t>
      </w:r>
      <w:r w:rsidRPr="00875F66">
        <w:rPr>
          <w:rFonts w:asciiTheme="minorEastAsia" w:eastAsiaTheme="minorEastAsia" w:hAnsiTheme="minorEastAsia" w:cs="Arial"/>
          <w:sz w:val="21"/>
          <w:szCs w:val="21"/>
        </w:rPr>
        <w:t>NaO</w:t>
      </w:r>
      <w:r w:rsidRPr="00875F66">
        <w:rPr>
          <w:rFonts w:asciiTheme="minorEastAsia" w:eastAsiaTheme="minorEastAsia" w:hAnsiTheme="minorEastAsia" w:cs="Arial"/>
          <w:sz w:val="21"/>
          <w:szCs w:val="21"/>
          <w:vertAlign w:val="subscript"/>
        </w:rPr>
        <w:t>5</w:t>
      </w:r>
      <w:r w:rsidRPr="00875F66">
        <w:rPr>
          <w:rFonts w:asciiTheme="minorEastAsia" w:eastAsiaTheme="minorEastAsia" w:hAnsiTheme="minorEastAsia" w:cs="Arial"/>
          <w:sz w:val="21"/>
          <w:szCs w:val="21"/>
        </w:rPr>
        <w:t>S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Tahoma"/>
          <w:sz w:val="21"/>
          <w:szCs w:val="21"/>
        </w:rPr>
      </w:pPr>
      <w:r w:rsidRPr="00875F66">
        <w:rPr>
          <w:rFonts w:asciiTheme="minorEastAsia" w:eastAsiaTheme="minorEastAsia" w:hAnsiTheme="minorEastAsia" w:cs="宋体"/>
          <w:sz w:val="21"/>
          <w:szCs w:val="21"/>
        </w:rPr>
        <w:t>分子量：218.2033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Tahoma"/>
          <w:sz w:val="21"/>
          <w:szCs w:val="21"/>
        </w:rPr>
      </w:pPr>
      <w:r w:rsidRPr="00786D6D">
        <w:rPr>
          <w:rFonts w:asciiTheme="minorEastAsia" w:eastAsiaTheme="minorEastAsia" w:hAnsiTheme="minorEastAsia" w:cs="Tahoma" w:hint="eastAsia"/>
          <w:sz w:val="21"/>
          <w:szCs w:val="21"/>
        </w:rPr>
        <w:t>外观：无色至淡琥珀色液体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Tahoma"/>
          <w:sz w:val="21"/>
          <w:szCs w:val="21"/>
        </w:rPr>
      </w:pPr>
      <w:r w:rsidRPr="00786D6D">
        <w:rPr>
          <w:rFonts w:asciiTheme="minorEastAsia" w:eastAsiaTheme="minorEastAsia" w:hAnsiTheme="minorEastAsia" w:cs="Tahoma" w:hint="eastAsia"/>
          <w:sz w:val="21"/>
          <w:szCs w:val="21"/>
        </w:rPr>
        <w:t>活性成分含量</w:t>
      </w:r>
      <w:r w:rsidRPr="00786D6D">
        <w:rPr>
          <w:rFonts w:asciiTheme="minorEastAsia" w:eastAsiaTheme="minorEastAsia" w:hAnsiTheme="minorEastAsia" w:cs="Tahoma"/>
          <w:sz w:val="21"/>
          <w:szCs w:val="21"/>
        </w:rPr>
        <w:t>%</w:t>
      </w:r>
      <w:r w:rsidRPr="00786D6D">
        <w:rPr>
          <w:rFonts w:asciiTheme="minorEastAsia" w:eastAsiaTheme="minorEastAsia" w:hAnsiTheme="minorEastAsia" w:cs="Tahoma" w:hint="eastAsia"/>
          <w:sz w:val="21"/>
          <w:szCs w:val="21"/>
        </w:rPr>
        <w:t>：</w:t>
      </w:r>
      <w:r w:rsidRPr="00786D6D">
        <w:rPr>
          <w:rFonts w:asciiTheme="minorEastAsia" w:eastAsiaTheme="minorEastAsia" w:hAnsiTheme="minorEastAsia" w:cs="Tahoma"/>
          <w:sz w:val="21"/>
          <w:szCs w:val="21"/>
        </w:rPr>
        <w:t>39</w:t>
      </w:r>
      <w:r w:rsidRPr="00786D6D">
        <w:rPr>
          <w:rFonts w:asciiTheme="minorEastAsia" w:eastAsiaTheme="minorEastAsia" w:hAnsiTheme="minorEastAsia" w:cs="Tahoma" w:hint="eastAsia"/>
          <w:sz w:val="21"/>
          <w:szCs w:val="21"/>
        </w:rPr>
        <w:t>～</w:t>
      </w:r>
      <w:r w:rsidRPr="00786D6D">
        <w:rPr>
          <w:rFonts w:asciiTheme="minorEastAsia" w:eastAsiaTheme="minorEastAsia" w:hAnsiTheme="minorEastAsia" w:cs="Tahoma"/>
          <w:sz w:val="21"/>
          <w:szCs w:val="21"/>
        </w:rPr>
        <w:t>42%</w:t>
      </w:r>
    </w:p>
    <w:p w:rsidR="00E16C9A" w:rsidRPr="00786D6D" w:rsidRDefault="00E16C9A" w:rsidP="00E16C9A">
      <w:pPr>
        <w:spacing w:line="360" w:lineRule="auto"/>
        <w:rPr>
          <w:rFonts w:asciiTheme="minorEastAsia" w:eastAsiaTheme="minorEastAsia" w:hAnsiTheme="minorEastAsia" w:cs="Tahoma"/>
          <w:sz w:val="21"/>
          <w:szCs w:val="21"/>
        </w:rPr>
      </w:pPr>
      <w:r w:rsidRPr="00786D6D">
        <w:rPr>
          <w:rFonts w:asciiTheme="minorEastAsia" w:eastAsiaTheme="minorEastAsia" w:hAnsiTheme="minorEastAsia" w:cs="Tahoma"/>
          <w:sz w:val="21"/>
          <w:szCs w:val="21"/>
        </w:rPr>
        <w:t>pH(5%</w:t>
      </w:r>
      <w:r w:rsidRPr="00786D6D">
        <w:rPr>
          <w:rFonts w:asciiTheme="minorEastAsia" w:eastAsiaTheme="minorEastAsia" w:hAnsiTheme="minorEastAsia" w:cs="Tahoma" w:hint="eastAsia"/>
          <w:sz w:val="21"/>
          <w:szCs w:val="21"/>
        </w:rPr>
        <w:t>溶液</w:t>
      </w:r>
      <w:r w:rsidRPr="00786D6D">
        <w:rPr>
          <w:rFonts w:asciiTheme="minorEastAsia" w:eastAsiaTheme="minorEastAsia" w:hAnsiTheme="minorEastAsia" w:cs="Tahoma"/>
          <w:sz w:val="21"/>
          <w:szCs w:val="21"/>
        </w:rPr>
        <w:t>)</w:t>
      </w:r>
      <w:r w:rsidRPr="00786D6D">
        <w:rPr>
          <w:rFonts w:asciiTheme="minorEastAsia" w:eastAsiaTheme="minorEastAsia" w:hAnsiTheme="minorEastAsia" w:cs="Tahoma" w:hint="eastAsia"/>
          <w:sz w:val="21"/>
          <w:szCs w:val="21"/>
        </w:rPr>
        <w:t>：</w:t>
      </w:r>
      <w:r w:rsidRPr="00786D6D">
        <w:rPr>
          <w:rFonts w:asciiTheme="minorEastAsia" w:eastAsiaTheme="minorEastAsia" w:hAnsiTheme="minorEastAsia" w:cs="Tahoma"/>
          <w:sz w:val="21"/>
          <w:szCs w:val="21"/>
        </w:rPr>
        <w:t>6</w:t>
      </w:r>
      <w:r w:rsidRPr="00786D6D">
        <w:rPr>
          <w:rFonts w:asciiTheme="minorEastAsia" w:eastAsiaTheme="minorEastAsia" w:hAnsiTheme="minorEastAsia" w:cs="Tahoma" w:hint="eastAsia"/>
          <w:sz w:val="21"/>
          <w:szCs w:val="21"/>
        </w:rPr>
        <w:t>～</w:t>
      </w:r>
      <w:r w:rsidRPr="00786D6D">
        <w:rPr>
          <w:rFonts w:asciiTheme="minorEastAsia" w:eastAsiaTheme="minorEastAsia" w:hAnsiTheme="minorEastAsia" w:cs="Tahoma"/>
          <w:sz w:val="21"/>
          <w:szCs w:val="21"/>
        </w:rPr>
        <w:t>9</w:t>
      </w:r>
    </w:p>
    <w:p w:rsidR="00E16C9A" w:rsidRPr="00EE077B" w:rsidRDefault="00E16C9A" w:rsidP="00E16C9A">
      <w:pPr>
        <w:spacing w:line="360" w:lineRule="auto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 w:rsidRPr="00EE077B"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离子性：阴离子型</w:t>
      </w:r>
    </w:p>
    <w:p w:rsidR="00E16C9A" w:rsidRPr="00EE077B" w:rsidRDefault="00E16C9A" w:rsidP="00E16C9A">
      <w:pPr>
        <w:spacing w:line="360" w:lineRule="auto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 w:rsidRPr="00EE077B"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水溶性：可以溶于水</w:t>
      </w:r>
    </w:p>
    <w:p w:rsidR="00E16C9A" w:rsidRPr="00EE077B" w:rsidRDefault="00E16C9A" w:rsidP="00E16C9A">
      <w:pPr>
        <w:spacing w:line="480" w:lineRule="auto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 w:rsidRPr="00EE077B"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用途：</w:t>
      </w:r>
      <w:r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用于丙烯酸、醋酸乙烯、苯乙烯及其它共聚单体的乳液聚合。</w:t>
      </w:r>
      <w:r w:rsidRPr="00EE077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在低用量和与传统表面活性剂配合使用时，可显著改善胶乳的溶解性能，</w:t>
      </w:r>
      <w:r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提高抗水性和抗漂白性，减少结块倾向，并降低在湿润表面的粘性损失，</w:t>
      </w:r>
      <w:r w:rsidRPr="00EE077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建议</w:t>
      </w:r>
      <w:r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用量</w:t>
      </w:r>
      <w:r w:rsidRPr="00EE077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 xml:space="preserve"> 0.5-1.0%（基于总量），一般与传统阴离子表面活性剂配合使用。</w:t>
      </w:r>
      <w:r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本品</w:t>
      </w:r>
      <w:r w:rsidRPr="00EE077B"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作为一种性能极佳的共聚稳定剂，反应型表面活性剂，因其分子结构中含有羟基和磺酸基，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因而</w:t>
      </w:r>
      <w:r w:rsidRPr="00EE077B"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可作为树脂改性剂、化纤产品品质改进剂使用，还可以作为一种合成缓蚀阻垢型水处理剂的单体应用于水处理行业。</w:t>
      </w:r>
    </w:p>
    <w:p w:rsidR="00E16C9A" w:rsidRDefault="00E16C9A" w:rsidP="00E16C9A">
      <w:pPr>
        <w:spacing w:line="360" w:lineRule="auto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 w:rsidRPr="00EE077B"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包装：200L塑料桶包装，每桶180公斤，也可按照客户要求包装。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2B" w:rsidRDefault="00AC412B" w:rsidP="00E16C9A">
      <w:pPr>
        <w:spacing w:after="0"/>
      </w:pPr>
      <w:r>
        <w:separator/>
      </w:r>
    </w:p>
  </w:endnote>
  <w:endnote w:type="continuationSeparator" w:id="0">
    <w:p w:rsidR="00AC412B" w:rsidRDefault="00AC412B" w:rsidP="00E16C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2B" w:rsidRDefault="00AC412B" w:rsidP="00E16C9A">
      <w:pPr>
        <w:spacing w:after="0"/>
      </w:pPr>
      <w:r>
        <w:separator/>
      </w:r>
    </w:p>
  </w:footnote>
  <w:footnote w:type="continuationSeparator" w:id="0">
    <w:p w:rsidR="00AC412B" w:rsidRDefault="00AC412B" w:rsidP="00E16C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7DA2"/>
    <w:rsid w:val="00323B43"/>
    <w:rsid w:val="003D37D8"/>
    <w:rsid w:val="00426133"/>
    <w:rsid w:val="004358AB"/>
    <w:rsid w:val="007C5FA6"/>
    <w:rsid w:val="007E4B0A"/>
    <w:rsid w:val="008B7726"/>
    <w:rsid w:val="00AC412B"/>
    <w:rsid w:val="00BD4BBD"/>
    <w:rsid w:val="00D31D50"/>
    <w:rsid w:val="00E1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E16C9A"/>
    <w:pPr>
      <w:adjustRightInd/>
      <w:snapToGrid/>
      <w:spacing w:after="0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C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C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C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C9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6C9A"/>
    <w:rPr>
      <w:rFonts w:ascii="宋体" w:eastAsia="宋体" w:hAnsi="宋体" w:cs="宋体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2016-06-21T00:13:00Z</dcterms:modified>
</cp:coreProperties>
</file>